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673ED" w14:textId="5AF5206B" w:rsidR="00D042A0" w:rsidRPr="00693002" w:rsidRDefault="00D042A0" w:rsidP="00D042A0">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9E3233" w:rsidRPr="009E3233">
        <w:rPr>
          <w:rFonts w:eastAsia="MS Mincho"/>
          <w:noProof w:val="0"/>
          <w:sz w:val="24"/>
          <w:szCs w:val="24"/>
          <w:lang w:val="en-GB" w:eastAsia="en-GB"/>
        </w:rPr>
        <w:t>R2-2110313</w:t>
      </w:r>
    </w:p>
    <w:p w14:paraId="46C4DFA9" w14:textId="27EA3BB7" w:rsidR="00053733" w:rsidRPr="001C7FAA" w:rsidRDefault="00D042A0" w:rsidP="00D042A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r w:rsidR="00053733" w:rsidRPr="001C7FAA">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3583395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21525">
        <w:rPr>
          <w:rFonts w:ascii="Arial" w:hAnsi="Arial" w:cs="Arial" w:hint="eastAsia"/>
          <w:b/>
          <w:bCs/>
          <w:sz w:val="24"/>
        </w:rPr>
        <w:t>A</w:t>
      </w:r>
      <w:r w:rsidR="00621525" w:rsidRPr="00621525">
        <w:rPr>
          <w:rFonts w:ascii="Arial" w:hAnsi="Arial" w:cs="Arial"/>
          <w:b/>
          <w:bCs/>
          <w:sz w:val="24"/>
        </w:rPr>
        <w:t xml:space="preserve">ssistance information for NTN </w:t>
      </w:r>
      <w:r w:rsidR="0051451C">
        <w:rPr>
          <w:rFonts w:ascii="Arial" w:hAnsi="Arial" w:cs="Arial"/>
          <w:b/>
          <w:bCs/>
          <w:sz w:val="24"/>
        </w:rPr>
        <w:t>dis</w:t>
      </w:r>
      <w:r w:rsidR="00621525" w:rsidRPr="00621525">
        <w:rPr>
          <w:rFonts w:ascii="Arial" w:hAnsi="Arial" w:cs="Arial"/>
          <w:b/>
          <w:bCs/>
          <w:sz w:val="24"/>
        </w:rPr>
        <w:t>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3C2580AD" w:rsidR="00C37EF3" w:rsidRDefault="00515C08" w:rsidP="007B7DA9">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C37EF3">
        <w:rPr>
          <w:rFonts w:ascii="Times New Roman" w:hAnsi="Times New Roman" w:hint="eastAsia"/>
          <w:sz w:val="20"/>
          <w:szCs w:val="20"/>
          <w:lang w:val="en-GB"/>
        </w:rPr>
        <w:t>RAN2</w:t>
      </w:r>
      <w:r w:rsidR="00C37EF3">
        <w:rPr>
          <w:rFonts w:ascii="Times New Roman" w:hAnsi="Times New Roman"/>
          <w:sz w:val="20"/>
          <w:szCs w:val="20"/>
          <w:lang w:val="en-GB"/>
        </w:rPr>
        <w:t>#11</w:t>
      </w:r>
      <w:r>
        <w:rPr>
          <w:rFonts w:ascii="Times New Roman" w:hAnsi="Times New Roman"/>
          <w:sz w:val="20"/>
          <w:szCs w:val="20"/>
          <w:lang w:val="en-GB"/>
        </w:rPr>
        <w:t>5</w:t>
      </w:r>
      <w:r w:rsidR="0051451C">
        <w:rPr>
          <w:rFonts w:ascii="Times New Roman" w:hAnsi="Times New Roman"/>
          <w:sz w:val="20"/>
          <w:szCs w:val="20"/>
          <w:lang w:val="en-GB"/>
        </w:rPr>
        <w:t>e</w:t>
      </w:r>
      <w:r w:rsidR="00C37EF3">
        <w:rPr>
          <w:rFonts w:ascii="Times New Roman" w:hAnsi="Times New Roman"/>
          <w:sz w:val="20"/>
          <w:szCs w:val="20"/>
          <w:lang w:val="en-GB"/>
        </w:rPr>
        <w:t xml:space="preserve"> meeting made the following agreement regarding</w:t>
      </w:r>
      <w:r w:rsidR="00C37EF3" w:rsidRPr="00C37EF3">
        <w:t xml:space="preserve"> </w:t>
      </w:r>
      <w:r w:rsidR="0051451C">
        <w:rPr>
          <w:rFonts w:ascii="Times New Roman" w:hAnsi="Times New Roman"/>
          <w:sz w:val="20"/>
          <w:szCs w:val="20"/>
          <w:lang w:val="en-GB"/>
        </w:rPr>
        <w:t>a</w:t>
      </w:r>
      <w:r w:rsidR="0051451C" w:rsidRPr="0051451C">
        <w:rPr>
          <w:rFonts w:ascii="Times New Roman" w:hAnsi="Times New Roman"/>
          <w:sz w:val="20"/>
          <w:szCs w:val="20"/>
          <w:lang w:val="en-GB"/>
        </w:rPr>
        <w:t xml:space="preserve">ssistance information for </w:t>
      </w:r>
      <w:r w:rsidR="0051451C">
        <w:rPr>
          <w:rFonts w:ascii="Times New Roman" w:hAnsi="Times New Roman"/>
          <w:sz w:val="20"/>
          <w:szCs w:val="20"/>
          <w:lang w:val="en-GB"/>
        </w:rPr>
        <w:t>dis</w:t>
      </w:r>
      <w:r w:rsidR="00225195">
        <w:rPr>
          <w:rFonts w:ascii="Times New Roman" w:hAnsi="Times New Roman" w:hint="eastAsia"/>
          <w:sz w:val="20"/>
          <w:szCs w:val="20"/>
          <w:lang w:val="en-GB"/>
        </w:rPr>
        <w:t>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14F64598" w14:textId="5614F0D3" w:rsidR="00515C08" w:rsidRDefault="00515C08" w:rsidP="00515C08">
            <w:pPr>
              <w:pStyle w:val="Agreement"/>
              <w:tabs>
                <w:tab w:val="clear" w:pos="4680"/>
                <w:tab w:val="num" w:pos="1300"/>
              </w:tabs>
              <w:ind w:left="591" w:hanging="426"/>
              <w:rPr>
                <w:lang w:eastAsia="sv-SE"/>
              </w:rPr>
            </w:pPr>
            <w:bookmarkStart w:id="4" w:name="_Hlk61535257"/>
            <w:r>
              <w:rPr>
                <w:lang w:eastAsia="sv-SE"/>
              </w:rPr>
              <w:t xml:space="preserve">Satellite assistance information will be used by the UE for predicting coverage discontinuity. The details of the assistance information </w:t>
            </w:r>
            <w:r w:rsidR="003C6526">
              <w:rPr>
                <w:lang w:eastAsia="sv-SE"/>
              </w:rPr>
              <w:t>are</w:t>
            </w:r>
            <w:r>
              <w:rPr>
                <w:lang w:eastAsia="sv-SE"/>
              </w:rPr>
              <w:t xml:space="preserve"> FFS. FFS whether any applicable agreements made in NR-NTN can be reused.</w:t>
            </w:r>
          </w:p>
          <w:p w14:paraId="46D8985B" w14:textId="0B269D9C" w:rsidR="00515C08" w:rsidRDefault="00515C08" w:rsidP="00515C08">
            <w:pPr>
              <w:pStyle w:val="Agreement"/>
              <w:tabs>
                <w:tab w:val="clear" w:pos="4680"/>
                <w:tab w:val="num" w:pos="1300"/>
              </w:tabs>
              <w:ind w:left="591" w:hanging="426"/>
              <w:rPr>
                <w:lang w:eastAsia="sv-SE"/>
              </w:rPr>
            </w:pPr>
            <w:r>
              <w:rPr>
                <w:lang w:eastAsia="sv-SE"/>
              </w:rPr>
              <w:t xml:space="preserve">The details of UEs actions when predicted to be out of coverage is FFS, e.g. stopping unnecessary cell search in the Idle mode, and FFS to what extent this need to be specified. </w:t>
            </w:r>
          </w:p>
          <w:p w14:paraId="28D31931" w14:textId="1CE9ACC8" w:rsidR="006E631A" w:rsidRPr="00515C08" w:rsidRDefault="00515C08" w:rsidP="0051451C">
            <w:pPr>
              <w:pStyle w:val="Agreement"/>
              <w:tabs>
                <w:tab w:val="clear" w:pos="4680"/>
                <w:tab w:val="num" w:pos="1300"/>
              </w:tabs>
              <w:ind w:left="591" w:hanging="426"/>
              <w:rPr>
                <w:lang w:eastAsia="sv-SE"/>
              </w:rPr>
            </w:pPr>
            <w:r>
              <w:rPr>
                <w:lang w:eastAsia="sv-SE"/>
              </w:rPr>
              <w:t>It is FFS to what extent it need</w:t>
            </w:r>
            <w:r w:rsidR="0051451C">
              <w:rPr>
                <w:lang w:eastAsia="sv-SE"/>
              </w:rPr>
              <w:t>s</w:t>
            </w:r>
            <w:r>
              <w:rPr>
                <w:lang w:eastAsia="sv-SE"/>
              </w:rPr>
              <w:t xml:space="preserve"> to be specified the details of UE’s prediction of discontinuous coverage and its ability to detect when it is back in coverage.</w:t>
            </w:r>
          </w:p>
        </w:tc>
      </w:tr>
    </w:tbl>
    <w:bookmarkEnd w:id="4"/>
    <w:p w14:paraId="7F2B70CA" w14:textId="26874B10"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w:t>
      </w:r>
      <w:r w:rsidR="0051451C">
        <w:rPr>
          <w:rFonts w:ascii="Times New Roman" w:hAnsi="Times New Roman"/>
          <w:sz w:val="20"/>
          <w:szCs w:val="20"/>
          <w:lang w:val="en-GB"/>
        </w:rPr>
        <w:t xml:space="preserve">possible contents and </w:t>
      </w:r>
      <w:r w:rsidR="00AB5595">
        <w:rPr>
          <w:rFonts w:ascii="Times New Roman" w:hAnsi="Times New Roman"/>
          <w:sz w:val="20"/>
          <w:szCs w:val="20"/>
          <w:lang w:val="en-GB"/>
        </w:rPr>
        <w:t xml:space="preserve">provision of </w:t>
      </w:r>
      <w:r w:rsidR="0051451C" w:rsidRPr="0051451C">
        <w:rPr>
          <w:rFonts w:ascii="Times New Roman" w:hAnsi="Times New Roman"/>
          <w:sz w:val="20"/>
          <w:szCs w:val="20"/>
          <w:lang w:val="en-GB"/>
        </w:rPr>
        <w:t>assistance information</w:t>
      </w:r>
      <w:r w:rsidR="0051451C">
        <w:rPr>
          <w:rFonts w:ascii="Times New Roman" w:hAnsi="Times New Roman"/>
          <w:sz w:val="20"/>
          <w:szCs w:val="20"/>
          <w:lang w:val="en-GB"/>
        </w:rPr>
        <w:t xml:space="preserve"> for</w:t>
      </w:r>
      <w:r w:rsidRPr="00BD4673">
        <w:rPr>
          <w:rFonts w:ascii="Times New Roman" w:hAnsi="Times New Roman"/>
          <w:sz w:val="20"/>
          <w:szCs w:val="20"/>
          <w:lang w:val="en-GB"/>
        </w:rPr>
        <w:t xml:space="preserve"> 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2F26711" w14:textId="13991E10" w:rsidR="005252D0" w:rsidRDefault="005252D0" w:rsidP="00DA5F38">
      <w:pPr>
        <w:rPr>
          <w:rFonts w:ascii="Times New Roman" w:hAnsi="Times New Roman"/>
          <w:sz w:val="20"/>
          <w:szCs w:val="20"/>
          <w:lang w:val="en-GB"/>
        </w:rPr>
      </w:pPr>
      <w:r w:rsidRPr="005252D0">
        <w:rPr>
          <w:rFonts w:ascii="Times New Roman" w:hAnsi="Times New Roman"/>
          <w:sz w:val="20"/>
          <w:szCs w:val="20"/>
          <w:lang w:val="en-GB"/>
        </w:rPr>
        <w:t>For IoT NTN, there could be discontinuous coverage due to</w:t>
      </w:r>
      <w:r>
        <w:rPr>
          <w:rFonts w:ascii="Times New Roman" w:hAnsi="Times New Roman"/>
          <w:sz w:val="20"/>
          <w:szCs w:val="20"/>
          <w:lang w:val="en-GB"/>
        </w:rPr>
        <w:t xml:space="preserve"> NGSO satellite movements and/or</w:t>
      </w:r>
      <w:r w:rsidRPr="005252D0">
        <w:rPr>
          <w:rFonts w:ascii="Times New Roman" w:hAnsi="Times New Roman"/>
          <w:sz w:val="20"/>
          <w:szCs w:val="20"/>
          <w:lang w:val="en-GB"/>
        </w:rPr>
        <w:t xml:space="preserve"> low-density constellation, e.g. microsatellite platforms including Cube satellites. In this case UE may remain long periods of time without being able to detect a satellite cell, and therefore may suffer additional and unnecessary power consumption which is essential to IoT devices.</w:t>
      </w:r>
      <w:r>
        <w:rPr>
          <w:rFonts w:ascii="Times New Roman" w:hAnsi="Times New Roman"/>
          <w:sz w:val="20"/>
          <w:szCs w:val="20"/>
          <w:lang w:val="en-GB"/>
        </w:rPr>
        <w:t xml:space="preserve"> A</w:t>
      </w:r>
      <w:r w:rsidRPr="005252D0">
        <w:rPr>
          <w:rFonts w:ascii="Times New Roman" w:hAnsi="Times New Roman"/>
          <w:sz w:val="20"/>
          <w:szCs w:val="20"/>
          <w:lang w:val="en-GB"/>
        </w:rPr>
        <w:t xml:space="preserve">s shown in Figure 1 the </w:t>
      </w:r>
      <w:r>
        <w:rPr>
          <w:rFonts w:ascii="Times New Roman" w:hAnsi="Times New Roman"/>
          <w:sz w:val="20"/>
          <w:szCs w:val="20"/>
          <w:lang w:val="en-GB"/>
        </w:rPr>
        <w:t>coverage interruption</w:t>
      </w:r>
      <w:r w:rsidR="001856FD">
        <w:rPr>
          <w:rFonts w:ascii="Times New Roman" w:hAnsi="Times New Roman"/>
          <w:sz w:val="20"/>
          <w:szCs w:val="20"/>
          <w:lang w:val="en-GB"/>
        </w:rPr>
        <w:t xml:space="preserve"> (i.e. UE is out of coverage)</w:t>
      </w:r>
      <w:r w:rsidRPr="005252D0">
        <w:rPr>
          <w:rFonts w:ascii="Times New Roman" w:hAnsi="Times New Roman"/>
          <w:sz w:val="20"/>
          <w:szCs w:val="20"/>
          <w:lang w:val="en-GB"/>
        </w:rPr>
        <w:t xml:space="preserve"> may occur in space and/or time domain </w:t>
      </w:r>
      <w:r>
        <w:rPr>
          <w:rFonts w:ascii="Times New Roman" w:hAnsi="Times New Roman"/>
          <w:sz w:val="20"/>
          <w:szCs w:val="20"/>
          <w:lang w:val="en-GB"/>
        </w:rPr>
        <w:t>both for moving cells and quasi-fixed cells generated by NGSO satellites</w:t>
      </w:r>
      <w:r w:rsidRPr="005252D0">
        <w:rPr>
          <w:rFonts w:ascii="Times New Roman" w:hAnsi="Times New Roman"/>
          <w:sz w:val="20"/>
          <w:szCs w:val="20"/>
          <w:lang w:val="en-GB"/>
        </w:rPr>
        <w:t>.</w:t>
      </w:r>
    </w:p>
    <w:p w14:paraId="6B4F47A8" w14:textId="5A1132C6" w:rsidR="005252D0" w:rsidRDefault="005252D0" w:rsidP="005252D0">
      <w:pPr>
        <w:spacing w:after="180"/>
        <w:jc w:val="center"/>
        <w:rPr>
          <w:rFonts w:eastAsiaTheme="minorEastAsia"/>
        </w:rPr>
      </w:pPr>
      <w:r>
        <w:rPr>
          <w:rFonts w:eastAsiaTheme="minorEastAsia"/>
          <w:noProof/>
        </w:rPr>
        <w:drawing>
          <wp:inline distT="0" distB="0" distL="0" distR="0" wp14:anchorId="5270C65A" wp14:editId="59D3A624">
            <wp:extent cx="4405745" cy="26367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6018" cy="2654835"/>
                    </a:xfrm>
                    <a:prstGeom prst="rect">
                      <a:avLst/>
                    </a:prstGeom>
                    <a:noFill/>
                  </pic:spPr>
                </pic:pic>
              </a:graphicData>
            </a:graphic>
          </wp:inline>
        </w:drawing>
      </w:r>
    </w:p>
    <w:p w14:paraId="5B7CDE15" w14:textId="7B8AECBD" w:rsidR="005252D0" w:rsidRPr="00732026" w:rsidRDefault="005252D0" w:rsidP="005252D0">
      <w:pPr>
        <w:spacing w:after="180"/>
        <w:jc w:val="center"/>
        <w:rPr>
          <w:rFonts w:ascii="Times New Roman" w:eastAsiaTheme="minorEastAsia" w:hAnsi="Times New Roman"/>
        </w:rPr>
      </w:pPr>
      <w:r w:rsidRPr="00732026">
        <w:rPr>
          <w:rFonts w:ascii="Times New Roman" w:eastAsiaTheme="minorEastAsia" w:hAnsi="Times New Roman"/>
        </w:rPr>
        <w:t xml:space="preserve">Figure 1. Discontinuous coverage of </w:t>
      </w:r>
      <w:r>
        <w:rPr>
          <w:rFonts w:ascii="Times New Roman" w:eastAsiaTheme="minorEastAsia" w:hAnsi="Times New Roman"/>
        </w:rPr>
        <w:t>NGSO</w:t>
      </w:r>
      <w:r w:rsidRPr="00732026">
        <w:rPr>
          <w:rFonts w:ascii="Times New Roman" w:eastAsiaTheme="minorEastAsia" w:hAnsi="Times New Roman"/>
        </w:rPr>
        <w:t xml:space="preserve"> satellites: a) moving cell &amp; b) </w:t>
      </w:r>
      <w:r w:rsidR="007F3BB2">
        <w:rPr>
          <w:rFonts w:ascii="Times New Roman" w:eastAsiaTheme="minorEastAsia" w:hAnsi="Times New Roman"/>
        </w:rPr>
        <w:t>quasi-</w:t>
      </w:r>
      <w:r w:rsidRPr="00732026">
        <w:rPr>
          <w:rFonts w:ascii="Times New Roman" w:eastAsiaTheme="minorEastAsia" w:hAnsi="Times New Roman"/>
        </w:rPr>
        <w:t>fixed cell</w:t>
      </w:r>
    </w:p>
    <w:p w14:paraId="56BC5E3F" w14:textId="63C81ECB" w:rsidR="00E26ACB" w:rsidRDefault="001856FD" w:rsidP="00DA5F38">
      <w:pPr>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coverage interruption occurs, it is expected that the UE shall not attempt cell searching or connection reestablishment, and the network shall not attempt to page UE. To achieve this t</w:t>
      </w:r>
      <w:r w:rsidRPr="001856FD">
        <w:rPr>
          <w:rFonts w:ascii="Times New Roman" w:hAnsi="Times New Roman"/>
          <w:sz w:val="20"/>
          <w:szCs w:val="20"/>
        </w:rPr>
        <w:t xml:space="preserve">he first step is to </w:t>
      </w:r>
      <w:r>
        <w:rPr>
          <w:rFonts w:ascii="Times New Roman" w:hAnsi="Times New Roman"/>
          <w:sz w:val="20"/>
          <w:szCs w:val="20"/>
        </w:rPr>
        <w:t>predict possible</w:t>
      </w:r>
      <w:r w:rsidRPr="001856FD">
        <w:rPr>
          <w:rFonts w:ascii="Times New Roman" w:hAnsi="Times New Roman"/>
          <w:sz w:val="20"/>
          <w:szCs w:val="20"/>
        </w:rPr>
        <w:t xml:space="preserve"> coverage </w:t>
      </w:r>
      <w:r w:rsidRPr="001856FD">
        <w:rPr>
          <w:rFonts w:ascii="Times New Roman" w:hAnsi="Times New Roman"/>
          <w:sz w:val="20"/>
          <w:szCs w:val="20"/>
        </w:rPr>
        <w:lastRenderedPageBreak/>
        <w:t xml:space="preserve">interruption for </w:t>
      </w:r>
      <w:r>
        <w:rPr>
          <w:rFonts w:ascii="Times New Roman" w:hAnsi="Times New Roman"/>
          <w:sz w:val="20"/>
          <w:szCs w:val="20"/>
        </w:rPr>
        <w:t>the</w:t>
      </w:r>
      <w:r w:rsidRPr="001856FD">
        <w:rPr>
          <w:rFonts w:ascii="Times New Roman" w:hAnsi="Times New Roman"/>
          <w:sz w:val="20"/>
          <w:szCs w:val="20"/>
        </w:rPr>
        <w:t xml:space="preserve"> UE</w:t>
      </w:r>
      <w:r>
        <w:rPr>
          <w:rFonts w:ascii="Times New Roman" w:hAnsi="Times New Roman"/>
          <w:sz w:val="20"/>
          <w:szCs w:val="20"/>
        </w:rPr>
        <w:t>, and satellite assistance information is considered to be helpful during the discussion in the last meetings.</w:t>
      </w:r>
      <w:r w:rsidR="00C00B63">
        <w:rPr>
          <w:rFonts w:ascii="Times New Roman" w:hAnsi="Times New Roman" w:hint="eastAsia"/>
          <w:sz w:val="20"/>
          <w:szCs w:val="20"/>
        </w:rPr>
        <w:t xml:space="preserve"> </w:t>
      </w:r>
      <w:r w:rsidR="0067097D">
        <w:rPr>
          <w:rFonts w:ascii="Times New Roman" w:hAnsi="Times New Roman"/>
          <w:sz w:val="20"/>
          <w:szCs w:val="20"/>
        </w:rPr>
        <w:t xml:space="preserve">The coverage interruption could be expressed in different </w:t>
      </w:r>
      <w:r w:rsidR="00E26ACB">
        <w:rPr>
          <w:rFonts w:ascii="Times New Roman" w:hAnsi="Times New Roman"/>
          <w:sz w:val="20"/>
          <w:szCs w:val="20"/>
        </w:rPr>
        <w:t>format</w:t>
      </w:r>
      <w:r w:rsidR="0067097D">
        <w:rPr>
          <w:rFonts w:ascii="Times New Roman" w:hAnsi="Times New Roman"/>
          <w:sz w:val="20"/>
          <w:szCs w:val="20"/>
        </w:rPr>
        <w:t xml:space="preserve">s in time and space domains. </w:t>
      </w:r>
      <w:r w:rsidR="00E26ACB">
        <w:rPr>
          <w:rFonts w:ascii="Times New Roman" w:hAnsi="Times New Roman"/>
          <w:sz w:val="20"/>
          <w:szCs w:val="20"/>
        </w:rPr>
        <w:t>T</w:t>
      </w:r>
      <w:r w:rsidR="0067097D">
        <w:rPr>
          <w:rFonts w:ascii="Times New Roman" w:hAnsi="Times New Roman"/>
          <w:sz w:val="20"/>
          <w:szCs w:val="20"/>
        </w:rPr>
        <w:t xml:space="preserve">he </w:t>
      </w:r>
      <w:r w:rsidR="007F0AB5">
        <w:rPr>
          <w:rFonts w:ascii="Times New Roman" w:hAnsi="Times New Roman"/>
          <w:sz w:val="20"/>
          <w:szCs w:val="20"/>
        </w:rPr>
        <w:t xml:space="preserve">prediction of coverage interruption is expected to be used by UE in avoiding </w:t>
      </w:r>
      <w:r w:rsidR="007F0AB5" w:rsidRPr="007F0AB5">
        <w:rPr>
          <w:rFonts w:ascii="Times New Roman" w:hAnsi="Times New Roman"/>
          <w:sz w:val="20"/>
          <w:szCs w:val="20"/>
        </w:rPr>
        <w:t>unnecessary cell search</w:t>
      </w:r>
      <w:r w:rsidR="007F0AB5">
        <w:rPr>
          <w:rFonts w:ascii="Times New Roman" w:hAnsi="Times New Roman"/>
          <w:sz w:val="20"/>
          <w:szCs w:val="20"/>
        </w:rPr>
        <w:t xml:space="preserve"> and connection reestablishment during the coverage interruption, and in resuming cell camping or connection reestablishment after it.</w:t>
      </w:r>
      <w:r w:rsidR="00E26ACB">
        <w:rPr>
          <w:rFonts w:ascii="Times New Roman" w:hAnsi="Times New Roman"/>
          <w:sz w:val="20"/>
          <w:szCs w:val="20"/>
        </w:rPr>
        <w:t xml:space="preserve"> Considering that UE behaviors are often implemented by timers in specifications, the most straightforward prediction is the time duration of coverage interruption. This format can be directly used by </w:t>
      </w:r>
      <w:r w:rsidR="00C00B63">
        <w:rPr>
          <w:rFonts w:ascii="Times New Roman" w:hAnsi="Times New Roman"/>
          <w:sz w:val="20"/>
          <w:szCs w:val="20"/>
        </w:rPr>
        <w:t xml:space="preserve">the </w:t>
      </w:r>
      <w:r w:rsidR="00E26ACB">
        <w:rPr>
          <w:rFonts w:ascii="Times New Roman" w:hAnsi="Times New Roman"/>
          <w:sz w:val="20"/>
          <w:szCs w:val="20"/>
        </w:rPr>
        <w:t>UE</w:t>
      </w:r>
      <w:r w:rsidR="00C00B63">
        <w:rPr>
          <w:rFonts w:ascii="Times New Roman" w:hAnsi="Times New Roman"/>
          <w:sz w:val="20"/>
          <w:szCs w:val="20"/>
        </w:rPr>
        <w:t xml:space="preserve"> in e.g. disabling cell search or switch to PSM</w:t>
      </w:r>
      <w:r w:rsidR="00E26ACB">
        <w:rPr>
          <w:rFonts w:ascii="Times New Roman" w:hAnsi="Times New Roman"/>
          <w:sz w:val="20"/>
          <w:szCs w:val="20"/>
        </w:rPr>
        <w:t>, and is easy to be exchanged or adjusted by interaction with the network.</w:t>
      </w:r>
    </w:p>
    <w:p w14:paraId="39BB7D25" w14:textId="64C9650C" w:rsidR="001856FD" w:rsidRPr="00C00B63" w:rsidRDefault="00C00B63" w:rsidP="00DA5F38">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0440C48D" w14:textId="43C10793" w:rsidR="00136FA4" w:rsidRDefault="00C00B63" w:rsidP="00DA5F38">
      <w:pPr>
        <w:rPr>
          <w:rFonts w:ascii="Times New Roman" w:hAnsi="Times New Roman"/>
          <w:sz w:val="20"/>
          <w:szCs w:val="20"/>
        </w:rPr>
      </w:pPr>
      <w:r>
        <w:rPr>
          <w:rFonts w:ascii="Times New Roman" w:hAnsi="Times New Roman"/>
          <w:sz w:val="20"/>
          <w:szCs w:val="20"/>
        </w:rPr>
        <w:t>In NR NTN and IoT NTN, satellite ephemeris dat</w:t>
      </w:r>
      <w:r w:rsidR="00136FA4">
        <w:rPr>
          <w:rFonts w:ascii="Times New Roman" w:hAnsi="Times New Roman"/>
          <w:sz w:val="20"/>
          <w:szCs w:val="20"/>
        </w:rPr>
        <w:t>a</w:t>
      </w:r>
      <w:r>
        <w:rPr>
          <w:rFonts w:ascii="Times New Roman" w:hAnsi="Times New Roman"/>
          <w:sz w:val="20"/>
          <w:szCs w:val="20"/>
        </w:rPr>
        <w:t xml:space="preserve"> </w:t>
      </w:r>
      <w:r w:rsidR="00136FA4">
        <w:rPr>
          <w:rFonts w:ascii="Times New Roman" w:hAnsi="Times New Roman"/>
          <w:sz w:val="20"/>
          <w:szCs w:val="20"/>
        </w:rPr>
        <w:t>has been agreed to be provisioned to UE for mobility and other possible purpose in continuous coverage. T</w:t>
      </w:r>
      <w:r w:rsidRPr="00C00B63">
        <w:rPr>
          <w:rFonts w:ascii="Times New Roman" w:hAnsi="Times New Roman"/>
          <w:sz w:val="20"/>
          <w:szCs w:val="20"/>
        </w:rPr>
        <w:t xml:space="preserve">he RAN1#105 meeting </w:t>
      </w:r>
      <w:r w:rsidR="00136FA4">
        <w:rPr>
          <w:rFonts w:ascii="Times New Roman" w:hAnsi="Times New Roman"/>
          <w:sz w:val="20"/>
          <w:szCs w:val="20"/>
        </w:rPr>
        <w:t xml:space="preserve">also </w:t>
      </w:r>
      <w:r w:rsidRPr="00C00B63">
        <w:rPr>
          <w:rFonts w:ascii="Times New Roman" w:hAnsi="Times New Roman"/>
          <w:sz w:val="20"/>
          <w:szCs w:val="20"/>
        </w:rPr>
        <w:t xml:space="preserve">made agreements on </w:t>
      </w:r>
      <w:r w:rsidR="00136FA4">
        <w:rPr>
          <w:rFonts w:ascii="Times New Roman" w:hAnsi="Times New Roman"/>
          <w:sz w:val="20"/>
          <w:szCs w:val="20"/>
        </w:rPr>
        <w:t xml:space="preserve">two </w:t>
      </w:r>
      <w:r w:rsidRPr="00C00B63">
        <w:rPr>
          <w:rFonts w:ascii="Times New Roman" w:hAnsi="Times New Roman"/>
          <w:sz w:val="20"/>
          <w:szCs w:val="20"/>
        </w:rPr>
        <w:t>ephemeris formats</w:t>
      </w:r>
      <w:r w:rsidR="00136FA4">
        <w:rPr>
          <w:rFonts w:ascii="Times New Roman" w:hAnsi="Times New Roman"/>
          <w:sz w:val="20"/>
          <w:szCs w:val="20"/>
        </w:rPr>
        <w:t>:</w:t>
      </w:r>
    </w:p>
    <w:p w14:paraId="49FCC4BD" w14:textId="1FFF1246" w:rsidR="00136FA4" w:rsidRPr="00136FA4" w:rsidRDefault="00136FA4" w:rsidP="00136FA4">
      <w:pPr>
        <w:pStyle w:val="a6"/>
        <w:numPr>
          <w:ilvl w:val="0"/>
          <w:numId w:val="45"/>
        </w:numPr>
        <w:spacing w:after="0"/>
        <w:ind w:left="709" w:firstLineChars="0"/>
      </w:pPr>
      <w:r w:rsidRPr="00136FA4">
        <w:t>State vectors including coordinates (x, y, z) and additionally a velocity vector (vx, vy, vz) for NGSO satellites.</w:t>
      </w:r>
    </w:p>
    <w:p w14:paraId="1F7B8907" w14:textId="176CD49C" w:rsidR="001856FD" w:rsidRPr="00136FA4" w:rsidRDefault="00136FA4" w:rsidP="00136FA4">
      <w:pPr>
        <w:pStyle w:val="a6"/>
        <w:numPr>
          <w:ilvl w:val="0"/>
          <w:numId w:val="45"/>
        </w:numPr>
        <w:spacing w:after="0"/>
        <w:ind w:left="709" w:firstLineChars="0"/>
      </w:pPr>
      <w:r w:rsidRPr="00136FA4">
        <w:t>Orbital elements as in Table 1</w:t>
      </w:r>
      <w:r w:rsidR="00C00B63" w:rsidRPr="00136FA4">
        <w:t>.</w:t>
      </w:r>
    </w:p>
    <w:p w14:paraId="51560533" w14:textId="0F458B0B" w:rsidR="00136FA4" w:rsidRPr="00455CF9" w:rsidRDefault="00136FA4" w:rsidP="00136FA4">
      <w:pPr>
        <w:pStyle w:val="TH"/>
        <w:spacing w:before="0" w:after="0"/>
        <w:rPr>
          <w:rFonts w:ascii="Times New Roman" w:hAnsi="Times New Roman"/>
          <w:lang w:eastAsia="zh-CN"/>
        </w:rPr>
      </w:pPr>
      <w:r w:rsidRPr="00455CF9">
        <w:rPr>
          <w:rFonts w:ascii="Times New Roman" w:hAnsi="Times New Roman"/>
          <w:lang w:eastAsia="zh-CN"/>
        </w:rPr>
        <w:t xml:space="preserve">Table 1 </w:t>
      </w:r>
      <w:r w:rsidRPr="00136FA4">
        <w:rPr>
          <w:rFonts w:ascii="Times New Roman" w:hAnsi="Times New Roman"/>
          <w:b w:val="0"/>
          <w:bCs/>
        </w:rPr>
        <w:t>Orbital elements</w:t>
      </w:r>
      <w:r w:rsidRPr="00136FA4">
        <w:rPr>
          <w:rFonts w:ascii="Times New Roman" w:hAnsi="Times New Roman"/>
          <w:b w:val="0"/>
          <w:bCs/>
          <w:lang w:eastAsia="zh-CN"/>
        </w:rPr>
        <w:t xml:space="preserve">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049"/>
        <w:gridCol w:w="6549"/>
      </w:tblGrid>
      <w:tr w:rsidR="00136FA4" w:rsidRPr="00136FA4" w14:paraId="5C616D56" w14:textId="77777777" w:rsidTr="00136FA4">
        <w:trPr>
          <w:jc w:val="center"/>
        </w:trPr>
        <w:tc>
          <w:tcPr>
            <w:tcW w:w="1469" w:type="dxa"/>
            <w:vMerge w:val="restart"/>
            <w:shd w:val="clear" w:color="auto" w:fill="auto"/>
          </w:tcPr>
          <w:p w14:paraId="6C124566" w14:textId="77777777" w:rsidR="00136FA4" w:rsidRPr="00136FA4" w:rsidRDefault="00136FA4" w:rsidP="00136FA4">
            <w:pPr>
              <w:pStyle w:val="TAL"/>
              <w:rPr>
                <w:rFonts w:ascii="Times New Roman" w:hAnsi="Times New Roman"/>
              </w:rPr>
            </w:pPr>
            <w:r w:rsidRPr="00136FA4">
              <w:rPr>
                <w:rFonts w:ascii="Times New Roman" w:hAnsi="Times New Roman"/>
              </w:rPr>
              <w:t>Orbital plane parameters</w:t>
            </w:r>
          </w:p>
        </w:tc>
        <w:tc>
          <w:tcPr>
            <w:tcW w:w="1049" w:type="dxa"/>
            <w:shd w:val="clear" w:color="auto" w:fill="auto"/>
          </w:tcPr>
          <w:p w14:paraId="13FD4C06" w14:textId="77777777" w:rsidR="00136FA4" w:rsidRPr="00136FA4" w:rsidRDefault="005B2030" w:rsidP="00136FA4">
            <w:pPr>
              <w:pStyle w:val="TAL"/>
              <w:rPr>
                <w:rFonts w:eastAsia="Calibri"/>
              </w:rPr>
            </w:pPr>
            <m:oMathPara>
              <m:oMath>
                <m:rad>
                  <m:radPr>
                    <m:degHide m:val="1"/>
                    <m:ctrlPr>
                      <w:rPr>
                        <w:rFonts w:ascii="Cambria Math" w:hAnsi="Cambria Math" w:cs="Arial"/>
                      </w:rPr>
                    </m:ctrlPr>
                  </m:radPr>
                  <m:deg/>
                  <m:e>
                    <m:r>
                      <w:rPr>
                        <w:rFonts w:ascii="Cambria Math" w:hAnsi="Cambria Math" w:cs="Arial"/>
                      </w:rPr>
                      <m:t>a</m:t>
                    </m:r>
                  </m:e>
                </m:rad>
              </m:oMath>
            </m:oMathPara>
          </w:p>
        </w:tc>
        <w:tc>
          <w:tcPr>
            <w:tcW w:w="6549" w:type="dxa"/>
            <w:shd w:val="clear" w:color="auto" w:fill="auto"/>
          </w:tcPr>
          <w:p w14:paraId="775A404B"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Square root of semi major axis</w:t>
            </w:r>
            <w:r w:rsidRPr="00136FA4">
              <w:rPr>
                <w:rFonts w:ascii="Times New Roman" w:eastAsia="MS Gothic" w:hAnsi="Times New Roman"/>
              </w:rPr>
              <w:t xml:space="preserve"> (</w:t>
            </w:r>
            <w:r w:rsidRPr="00136FA4">
              <w:rPr>
                <w:rFonts w:ascii="Times New Roman" w:eastAsia="Calibri" w:hAnsi="Times New Roman"/>
              </w:rPr>
              <w:t>semi-major axis</w:t>
            </w:r>
            <w:r w:rsidRPr="00136FA4">
              <w:rPr>
                <w:rFonts w:ascii="Times New Roman" w:eastAsia="MS Gothic" w:hAnsi="Times New Roman"/>
              </w:rPr>
              <w:t xml:space="preserve">) </w:t>
            </w:r>
          </w:p>
        </w:tc>
      </w:tr>
      <w:tr w:rsidR="00136FA4" w:rsidRPr="00136FA4" w14:paraId="64301E40" w14:textId="77777777" w:rsidTr="00136FA4">
        <w:trPr>
          <w:jc w:val="center"/>
        </w:trPr>
        <w:tc>
          <w:tcPr>
            <w:tcW w:w="1469" w:type="dxa"/>
            <w:vMerge/>
            <w:shd w:val="clear" w:color="auto" w:fill="auto"/>
          </w:tcPr>
          <w:p w14:paraId="20AC7242" w14:textId="77777777" w:rsidR="00136FA4" w:rsidRPr="00136FA4" w:rsidRDefault="00136FA4" w:rsidP="00136FA4">
            <w:pPr>
              <w:pStyle w:val="TAL"/>
              <w:rPr>
                <w:rFonts w:ascii="Times New Roman" w:eastAsia="Calibri" w:hAnsi="Times New Roman"/>
              </w:rPr>
            </w:pPr>
          </w:p>
        </w:tc>
        <w:tc>
          <w:tcPr>
            <w:tcW w:w="1049" w:type="dxa"/>
            <w:shd w:val="clear" w:color="auto" w:fill="auto"/>
          </w:tcPr>
          <w:p w14:paraId="12A804AD" w14:textId="77777777" w:rsidR="00136FA4" w:rsidRPr="00136FA4" w:rsidRDefault="00136FA4" w:rsidP="00136FA4">
            <w:pPr>
              <w:pStyle w:val="TAL"/>
              <w:rPr>
                <w:rFonts w:eastAsia="Calibri"/>
              </w:rPr>
            </w:pPr>
            <m:oMathPara>
              <m:oMath>
                <m:r>
                  <m:rPr>
                    <m:sty m:val="p"/>
                  </m:rPr>
                  <w:rPr>
                    <w:rFonts w:ascii="Cambria Math" w:hAnsi="Cambria Math" w:cs="Arial"/>
                  </w:rPr>
                  <m:t>e</m:t>
                </m:r>
              </m:oMath>
            </m:oMathPara>
          </w:p>
        </w:tc>
        <w:tc>
          <w:tcPr>
            <w:tcW w:w="6549" w:type="dxa"/>
            <w:shd w:val="clear" w:color="auto" w:fill="auto"/>
          </w:tcPr>
          <w:p w14:paraId="52C82B40"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Eccentricity</w:t>
            </w:r>
            <w:r w:rsidRPr="00136FA4">
              <w:rPr>
                <w:rFonts w:ascii="Times New Roman" w:eastAsia="MS Gothic" w:hAnsi="Times New Roman"/>
              </w:rPr>
              <w:t xml:space="preserve"> (</w:t>
            </w:r>
            <w:r w:rsidRPr="00136FA4">
              <w:rPr>
                <w:rFonts w:ascii="Times New Roman" w:eastAsia="Calibri" w:hAnsi="Times New Roman"/>
              </w:rPr>
              <w:t>eccentricity</w:t>
            </w:r>
            <w:r w:rsidRPr="00136FA4">
              <w:rPr>
                <w:rFonts w:ascii="Times New Roman" w:eastAsia="MS Gothic" w:hAnsi="Times New Roman"/>
              </w:rPr>
              <w:t xml:space="preserve">) </w:t>
            </w:r>
          </w:p>
        </w:tc>
      </w:tr>
      <w:tr w:rsidR="00136FA4" w:rsidRPr="00136FA4" w14:paraId="5D29B337" w14:textId="77777777" w:rsidTr="00136FA4">
        <w:trPr>
          <w:jc w:val="center"/>
        </w:trPr>
        <w:tc>
          <w:tcPr>
            <w:tcW w:w="1469" w:type="dxa"/>
            <w:vMerge/>
            <w:shd w:val="clear" w:color="auto" w:fill="auto"/>
          </w:tcPr>
          <w:p w14:paraId="25055B96" w14:textId="77777777" w:rsidR="00136FA4" w:rsidRPr="00136FA4" w:rsidRDefault="00136FA4" w:rsidP="00136FA4">
            <w:pPr>
              <w:pStyle w:val="TAL"/>
              <w:rPr>
                <w:rFonts w:ascii="Times New Roman" w:eastAsia="Calibri" w:hAnsi="Times New Roman"/>
              </w:rPr>
            </w:pPr>
          </w:p>
        </w:tc>
        <w:tc>
          <w:tcPr>
            <w:tcW w:w="1049" w:type="dxa"/>
            <w:shd w:val="clear" w:color="auto" w:fill="auto"/>
          </w:tcPr>
          <w:p w14:paraId="59975744" w14:textId="77777777" w:rsidR="00136FA4" w:rsidRPr="00136FA4" w:rsidRDefault="005B2030" w:rsidP="00136FA4">
            <w:pPr>
              <w:pStyle w:val="TAL"/>
              <w:rPr>
                <w:rFonts w:eastAsia="Calibri"/>
              </w:rPr>
            </w:pPr>
            <m:oMathPara>
              <m:oMath>
                <m:sSub>
                  <m:sSubPr>
                    <m:ctrlPr>
                      <w:rPr>
                        <w:rFonts w:ascii="Cambria Math" w:hAnsi="Cambria Math" w:cs="Arial"/>
                      </w:rPr>
                    </m:ctrlPr>
                  </m:sSubPr>
                  <m:e>
                    <m:r>
                      <m:rPr>
                        <m:sty m:val="p"/>
                      </m:rPr>
                      <w:rPr>
                        <w:rFonts w:ascii="Cambria Math" w:hAnsi="Cambria Math" w:cs="Arial"/>
                      </w:rPr>
                      <m:t>i</m:t>
                    </m:r>
                  </m:e>
                  <m:sub>
                    <m:r>
                      <w:rPr>
                        <w:rFonts w:ascii="Cambria Math" w:hAnsi="Cambria Math" w:cs="Arial"/>
                      </w:rPr>
                      <m:t>0</m:t>
                    </m:r>
                  </m:sub>
                </m:sSub>
              </m:oMath>
            </m:oMathPara>
          </w:p>
        </w:tc>
        <w:tc>
          <w:tcPr>
            <w:tcW w:w="6549" w:type="dxa"/>
            <w:shd w:val="clear" w:color="auto" w:fill="auto"/>
          </w:tcPr>
          <w:p w14:paraId="1DFBBA60"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Inclination angle at reference time</w:t>
            </w:r>
            <w:r w:rsidRPr="00136FA4">
              <w:rPr>
                <w:rFonts w:ascii="Times New Roman" w:eastAsia="MS Gothic" w:hAnsi="Times New Roman"/>
              </w:rPr>
              <w:t xml:space="preserve"> (</w:t>
            </w:r>
            <w:r w:rsidRPr="00136FA4">
              <w:rPr>
                <w:rFonts w:ascii="Times New Roman" w:eastAsia="Calibri" w:hAnsi="Times New Roman"/>
              </w:rPr>
              <w:t>inclination</w:t>
            </w:r>
            <w:r w:rsidRPr="00136FA4">
              <w:rPr>
                <w:rFonts w:ascii="Times New Roman" w:eastAsia="MS Gothic" w:hAnsi="Times New Roman"/>
              </w:rPr>
              <w:t xml:space="preserve">) </w:t>
            </w:r>
          </w:p>
        </w:tc>
      </w:tr>
      <w:tr w:rsidR="00136FA4" w:rsidRPr="00136FA4" w14:paraId="5B6CF2AD" w14:textId="77777777" w:rsidTr="00136FA4">
        <w:trPr>
          <w:jc w:val="center"/>
        </w:trPr>
        <w:tc>
          <w:tcPr>
            <w:tcW w:w="1469" w:type="dxa"/>
            <w:vMerge/>
            <w:shd w:val="clear" w:color="auto" w:fill="auto"/>
          </w:tcPr>
          <w:p w14:paraId="23CD239E" w14:textId="77777777" w:rsidR="00136FA4" w:rsidRPr="00136FA4" w:rsidRDefault="00136FA4" w:rsidP="00136FA4">
            <w:pPr>
              <w:pStyle w:val="TAL"/>
              <w:rPr>
                <w:rFonts w:ascii="Times New Roman" w:hAnsi="Times New Roman"/>
              </w:rPr>
            </w:pPr>
          </w:p>
        </w:tc>
        <w:tc>
          <w:tcPr>
            <w:tcW w:w="1049" w:type="dxa"/>
            <w:shd w:val="clear" w:color="auto" w:fill="auto"/>
          </w:tcPr>
          <w:p w14:paraId="0FDC27B0" w14:textId="77777777" w:rsidR="00136FA4" w:rsidRPr="00136FA4" w:rsidRDefault="005B2030" w:rsidP="00136FA4">
            <w:pPr>
              <w:pStyle w:val="TAL"/>
              <w:rPr>
                <w:rFonts w:eastAsia="Calibri"/>
              </w:rPr>
            </w:pPr>
            <m:oMathPara>
              <m:oMath>
                <m:sSub>
                  <m:sSubPr>
                    <m:ctrlPr>
                      <w:rPr>
                        <w:rFonts w:ascii="Cambria Math" w:hAnsi="Cambria Math" w:cs="Arial"/>
                      </w:rPr>
                    </m:ctrlPr>
                  </m:sSubPr>
                  <m:e>
                    <m:r>
                      <m:rPr>
                        <m:sty m:val="p"/>
                      </m:rPr>
                      <w:rPr>
                        <w:rFonts w:ascii="Cambria Math" w:hAnsi="Cambria Math" w:cs="Arial"/>
                      </w:rPr>
                      <m:t>Ω</m:t>
                    </m:r>
                  </m:e>
                  <m:sub>
                    <m:r>
                      <w:rPr>
                        <w:rFonts w:ascii="Cambria Math" w:hAnsi="Cambria Math" w:cs="Arial"/>
                      </w:rPr>
                      <m:t>0</m:t>
                    </m:r>
                  </m:sub>
                </m:sSub>
              </m:oMath>
            </m:oMathPara>
          </w:p>
        </w:tc>
        <w:tc>
          <w:tcPr>
            <w:tcW w:w="6549" w:type="dxa"/>
            <w:shd w:val="clear" w:color="auto" w:fill="auto"/>
          </w:tcPr>
          <w:p w14:paraId="0BEB42C3"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Longitude of ascending node of orbit plane</w:t>
            </w:r>
            <w:r w:rsidRPr="00136FA4">
              <w:rPr>
                <w:rFonts w:ascii="Times New Roman" w:eastAsia="MS Gothic" w:hAnsi="Times New Roman"/>
              </w:rPr>
              <w:t xml:space="preserve"> (</w:t>
            </w:r>
            <w:r w:rsidRPr="00136FA4">
              <w:rPr>
                <w:rFonts w:ascii="Times New Roman" w:eastAsia="Calibri" w:hAnsi="Times New Roman"/>
              </w:rPr>
              <w:t>right ascension of the ascending node</w:t>
            </w:r>
            <w:r w:rsidRPr="00136FA4">
              <w:rPr>
                <w:rFonts w:ascii="Times New Roman" w:eastAsia="MS Gothic" w:hAnsi="Times New Roman"/>
              </w:rPr>
              <w:t xml:space="preserve">) </w:t>
            </w:r>
          </w:p>
        </w:tc>
      </w:tr>
      <w:tr w:rsidR="00136FA4" w:rsidRPr="00136FA4" w14:paraId="65377D74" w14:textId="77777777" w:rsidTr="00136FA4">
        <w:trPr>
          <w:jc w:val="center"/>
        </w:trPr>
        <w:tc>
          <w:tcPr>
            <w:tcW w:w="1469" w:type="dxa"/>
            <w:vMerge/>
            <w:shd w:val="clear" w:color="auto" w:fill="auto"/>
          </w:tcPr>
          <w:p w14:paraId="7DA6CDC1" w14:textId="77777777" w:rsidR="00136FA4" w:rsidRPr="00136FA4" w:rsidRDefault="00136FA4" w:rsidP="00136FA4">
            <w:pPr>
              <w:pStyle w:val="TAL"/>
              <w:rPr>
                <w:rFonts w:ascii="Times New Roman" w:eastAsia="Calibri" w:hAnsi="Times New Roman"/>
              </w:rPr>
            </w:pPr>
          </w:p>
        </w:tc>
        <w:tc>
          <w:tcPr>
            <w:tcW w:w="1049" w:type="dxa"/>
            <w:shd w:val="clear" w:color="auto" w:fill="auto"/>
          </w:tcPr>
          <w:p w14:paraId="03306F6F" w14:textId="77777777" w:rsidR="00136FA4" w:rsidRPr="00136FA4" w:rsidRDefault="00136FA4" w:rsidP="00136FA4">
            <w:pPr>
              <w:pStyle w:val="TAL"/>
              <w:rPr>
                <w:rFonts w:eastAsia="Calibri"/>
              </w:rPr>
            </w:pPr>
            <m:oMathPara>
              <m:oMath>
                <m:r>
                  <m:rPr>
                    <m:sty m:val="p"/>
                  </m:rPr>
                  <w:rPr>
                    <w:rFonts w:ascii="Cambria Math" w:hAnsi="Cambria Math" w:cs="Arial"/>
                  </w:rPr>
                  <m:t>ω</m:t>
                </m:r>
              </m:oMath>
            </m:oMathPara>
          </w:p>
        </w:tc>
        <w:tc>
          <w:tcPr>
            <w:tcW w:w="6549" w:type="dxa"/>
            <w:shd w:val="clear" w:color="auto" w:fill="auto"/>
          </w:tcPr>
          <w:p w14:paraId="742FB4C9"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Argument of perigee</w:t>
            </w:r>
            <w:r w:rsidRPr="00136FA4">
              <w:rPr>
                <w:rFonts w:ascii="Times New Roman" w:eastAsia="MS Gothic" w:hAnsi="Times New Roman"/>
              </w:rPr>
              <w:t xml:space="preserve"> (</w:t>
            </w:r>
            <w:r w:rsidRPr="00136FA4">
              <w:rPr>
                <w:rFonts w:ascii="Times New Roman" w:eastAsia="Calibri" w:hAnsi="Times New Roman"/>
              </w:rPr>
              <w:t>argument of periapsis</w:t>
            </w:r>
            <w:r w:rsidRPr="00136FA4">
              <w:rPr>
                <w:rFonts w:ascii="Times New Roman" w:eastAsia="MS Gothic" w:hAnsi="Times New Roman"/>
              </w:rPr>
              <w:t xml:space="preserve">) </w:t>
            </w:r>
          </w:p>
        </w:tc>
      </w:tr>
      <w:tr w:rsidR="00136FA4" w:rsidRPr="00136FA4" w14:paraId="6D821645" w14:textId="77777777" w:rsidTr="00136FA4">
        <w:trPr>
          <w:jc w:val="center"/>
        </w:trPr>
        <w:tc>
          <w:tcPr>
            <w:tcW w:w="1469" w:type="dxa"/>
            <w:vMerge w:val="restart"/>
            <w:shd w:val="clear" w:color="auto" w:fill="auto"/>
          </w:tcPr>
          <w:p w14:paraId="1CD4B46B" w14:textId="77777777" w:rsidR="00136FA4" w:rsidRPr="00136FA4" w:rsidRDefault="00136FA4" w:rsidP="00136FA4">
            <w:pPr>
              <w:pStyle w:val="TAL"/>
              <w:rPr>
                <w:rFonts w:ascii="Times New Roman" w:hAnsi="Times New Roman"/>
              </w:rPr>
            </w:pPr>
            <w:r w:rsidRPr="00136FA4">
              <w:rPr>
                <w:rFonts w:ascii="Times New Roman" w:hAnsi="Times New Roman"/>
              </w:rPr>
              <w:t>Satellite level parameters</w:t>
            </w:r>
          </w:p>
        </w:tc>
        <w:tc>
          <w:tcPr>
            <w:tcW w:w="1049" w:type="dxa"/>
            <w:shd w:val="clear" w:color="auto" w:fill="auto"/>
          </w:tcPr>
          <w:p w14:paraId="271A2837" w14:textId="77777777" w:rsidR="00136FA4" w:rsidRPr="00136FA4" w:rsidRDefault="005B2030" w:rsidP="00136FA4">
            <w:pPr>
              <w:pStyle w:val="TAL"/>
              <w:rPr>
                <w:rFonts w:eastAsia="Calibri"/>
              </w:rPr>
            </w:pPr>
            <m:oMathPara>
              <m:oMath>
                <m:sSub>
                  <m:sSubPr>
                    <m:ctrlPr>
                      <w:rPr>
                        <w:rFonts w:ascii="Cambria Math" w:hAnsi="Cambria Math" w:cs="Arial"/>
                      </w:rPr>
                    </m:ctrlPr>
                  </m:sSubPr>
                  <m:e>
                    <m:r>
                      <w:rPr>
                        <w:rFonts w:ascii="Cambria Math" w:hAnsi="Cambria Math" w:cs="Arial"/>
                      </w:rPr>
                      <m:t>M</m:t>
                    </m:r>
                  </m:e>
                  <m:sub>
                    <m:r>
                      <w:rPr>
                        <w:rFonts w:ascii="Cambria Math" w:hAnsi="Cambria Math" w:cs="Arial"/>
                      </w:rPr>
                      <m:t>0</m:t>
                    </m:r>
                  </m:sub>
                </m:sSub>
              </m:oMath>
            </m:oMathPara>
          </w:p>
        </w:tc>
        <w:tc>
          <w:tcPr>
            <w:tcW w:w="6549" w:type="dxa"/>
            <w:shd w:val="clear" w:color="auto" w:fill="auto"/>
          </w:tcPr>
          <w:p w14:paraId="31859A6D"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Mean anomaly at reference time</w:t>
            </w:r>
            <w:r w:rsidRPr="00136FA4">
              <w:rPr>
                <w:rFonts w:ascii="Times New Roman" w:eastAsia="MS Gothic" w:hAnsi="Times New Roman"/>
              </w:rPr>
              <w:t xml:space="preserve"> (</w:t>
            </w:r>
            <w:r w:rsidRPr="00136FA4">
              <w:rPr>
                <w:rFonts w:ascii="Times New Roman" w:eastAsia="Calibri" w:hAnsi="Times New Roman"/>
              </w:rPr>
              <w:t>true anomaly and a reference point in time</w:t>
            </w:r>
            <w:r w:rsidRPr="00136FA4">
              <w:rPr>
                <w:rFonts w:ascii="Times New Roman" w:eastAsia="MS Gothic" w:hAnsi="Times New Roman"/>
              </w:rPr>
              <w:t xml:space="preserve">) </w:t>
            </w:r>
          </w:p>
        </w:tc>
      </w:tr>
      <w:tr w:rsidR="00136FA4" w:rsidRPr="00136FA4" w14:paraId="5BAEBB0B" w14:textId="77777777" w:rsidTr="00136FA4">
        <w:trPr>
          <w:trHeight w:val="53"/>
          <w:jc w:val="center"/>
        </w:trPr>
        <w:tc>
          <w:tcPr>
            <w:tcW w:w="1469" w:type="dxa"/>
            <w:vMerge/>
            <w:shd w:val="clear" w:color="auto" w:fill="auto"/>
          </w:tcPr>
          <w:p w14:paraId="329D4AA1" w14:textId="77777777" w:rsidR="00136FA4" w:rsidRPr="00136FA4" w:rsidRDefault="00136FA4" w:rsidP="00136FA4">
            <w:pPr>
              <w:pStyle w:val="TAL"/>
              <w:rPr>
                <w:rFonts w:eastAsia="Calibri"/>
              </w:rPr>
            </w:pPr>
          </w:p>
        </w:tc>
        <w:tc>
          <w:tcPr>
            <w:tcW w:w="1049" w:type="dxa"/>
            <w:shd w:val="clear" w:color="auto" w:fill="auto"/>
          </w:tcPr>
          <w:p w14:paraId="5744DC2D" w14:textId="77777777" w:rsidR="00136FA4" w:rsidRPr="00136FA4" w:rsidRDefault="005B2030" w:rsidP="00136FA4">
            <w:pPr>
              <w:pStyle w:val="TAL"/>
              <w:rPr>
                <w:rFonts w:eastAsia="Calibri"/>
              </w:rPr>
            </w:pPr>
            <m:oMathPara>
              <m:oMath>
                <m:sSub>
                  <m:sSubPr>
                    <m:ctrlPr>
                      <w:rPr>
                        <w:rFonts w:ascii="Cambria Math" w:hAnsi="Cambria Math" w:cs="Arial"/>
                      </w:rPr>
                    </m:ctrlPr>
                  </m:sSubPr>
                  <m:e>
                    <m:r>
                      <w:rPr>
                        <w:rFonts w:ascii="Cambria Math" w:hAnsi="Cambria Math" w:cs="Arial"/>
                      </w:rPr>
                      <m:t>t</m:t>
                    </m:r>
                  </m:e>
                  <m:sub>
                    <m:r>
                      <w:rPr>
                        <w:rFonts w:ascii="Cambria Math" w:hAnsi="Cambria Math" w:cs="Arial"/>
                      </w:rPr>
                      <m:t>0e</m:t>
                    </m:r>
                  </m:sub>
                </m:sSub>
              </m:oMath>
            </m:oMathPara>
          </w:p>
        </w:tc>
        <w:tc>
          <w:tcPr>
            <w:tcW w:w="6549" w:type="dxa"/>
            <w:shd w:val="clear" w:color="auto" w:fill="auto"/>
          </w:tcPr>
          <w:p w14:paraId="07BF9473" w14:textId="77777777" w:rsidR="00136FA4" w:rsidRPr="00136FA4" w:rsidRDefault="00136FA4" w:rsidP="00136FA4">
            <w:pPr>
              <w:pStyle w:val="TAL"/>
              <w:rPr>
                <w:rFonts w:ascii="Times New Roman" w:eastAsia="Calibri" w:hAnsi="Times New Roman"/>
              </w:rPr>
            </w:pPr>
            <w:r w:rsidRPr="00136FA4">
              <w:rPr>
                <w:rFonts w:ascii="Times New Roman" w:eastAsia="Calibri" w:hAnsi="Times New Roman"/>
              </w:rPr>
              <w:t>Ephemeris reference time</w:t>
            </w:r>
            <w:r w:rsidRPr="00136FA4">
              <w:rPr>
                <w:rFonts w:ascii="Times New Roman" w:eastAsia="MS Gothic" w:hAnsi="Times New Roman"/>
              </w:rPr>
              <w:t xml:space="preserve"> (</w:t>
            </w:r>
            <w:r w:rsidRPr="00136FA4">
              <w:rPr>
                <w:rFonts w:ascii="Times New Roman" w:eastAsia="Calibri" w:hAnsi="Times New Roman"/>
              </w:rPr>
              <w:t>the epoch</w:t>
            </w:r>
            <w:r w:rsidRPr="00136FA4">
              <w:rPr>
                <w:rFonts w:ascii="Times New Roman" w:eastAsia="MS Gothic" w:hAnsi="Times New Roman"/>
              </w:rPr>
              <w:t xml:space="preserve">) </w:t>
            </w:r>
          </w:p>
        </w:tc>
      </w:tr>
    </w:tbl>
    <w:p w14:paraId="1E4C0F72" w14:textId="690C9233" w:rsidR="00136FA4" w:rsidRDefault="00136FA4" w:rsidP="00DA5F38">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is observed that the current agreed formats of ephemeris data may only help UE in deriving the position or orbit of satellites. </w:t>
      </w:r>
      <w:r w:rsidR="00637FA9">
        <w:rPr>
          <w:rFonts w:ascii="Times New Roman" w:hAnsi="Times New Roman"/>
          <w:sz w:val="20"/>
          <w:szCs w:val="20"/>
        </w:rPr>
        <w:t>With only ephemeris data the UE cannot accurately predict its coverage interruption period, especially for NGSO satellites the cells could be either moving or quasi-fixed.</w:t>
      </w:r>
    </w:p>
    <w:p w14:paraId="417B00EE" w14:textId="0AF2C911" w:rsidR="00637FA9" w:rsidRPr="00C00B63" w:rsidRDefault="00637FA9" w:rsidP="00637FA9">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45742792" w14:textId="110BBF99" w:rsidR="00A95D3F" w:rsidRDefault="00A95D3F" w:rsidP="00DA5F38">
      <w:pPr>
        <w:rPr>
          <w:rFonts w:ascii="Times New Roman" w:hAnsi="Times New Roman"/>
          <w:sz w:val="20"/>
          <w:szCs w:val="20"/>
          <w:lang w:val="en-GB"/>
        </w:rPr>
      </w:pPr>
      <w:r>
        <w:rPr>
          <w:rFonts w:ascii="Times New Roman" w:hAnsi="Times New Roman"/>
          <w:sz w:val="20"/>
          <w:szCs w:val="20"/>
          <w:lang w:val="en-GB"/>
        </w:rPr>
        <w:t xml:space="preserve">For the quasi-fixed cells, broadcasting the stop serving time of the </w:t>
      </w:r>
      <w:r>
        <w:rPr>
          <w:rFonts w:ascii="Times New Roman" w:hAnsi="Times New Roman" w:hint="eastAsia"/>
          <w:sz w:val="20"/>
          <w:szCs w:val="20"/>
          <w:lang w:val="en-GB"/>
        </w:rPr>
        <w:t>serving</w:t>
      </w:r>
      <w:r>
        <w:rPr>
          <w:rFonts w:ascii="Times New Roman" w:hAnsi="Times New Roman"/>
          <w:sz w:val="20"/>
          <w:szCs w:val="20"/>
          <w:lang w:val="en-GB"/>
        </w:rPr>
        <w:t xml:space="preserve"> </w:t>
      </w:r>
      <w:r>
        <w:rPr>
          <w:rFonts w:ascii="Times New Roman" w:hAnsi="Times New Roman" w:hint="eastAsia"/>
          <w:sz w:val="20"/>
          <w:szCs w:val="20"/>
          <w:lang w:val="en-GB"/>
        </w:rPr>
        <w:t>satellite</w:t>
      </w:r>
      <w:r>
        <w:rPr>
          <w:rFonts w:ascii="Times New Roman" w:hAnsi="Times New Roman"/>
          <w:sz w:val="20"/>
          <w:szCs w:val="20"/>
          <w:lang w:val="en-GB"/>
        </w:rPr>
        <w:t xml:space="preserve"> was discussed and agreed to be used for service link switch issues</w:t>
      </w:r>
      <w:r w:rsidRPr="00A95D3F">
        <w:rPr>
          <w:rFonts w:ascii="Times New Roman" w:hAnsi="Times New Roman"/>
          <w:sz w:val="20"/>
          <w:szCs w:val="20"/>
          <w:lang w:val="en-GB"/>
        </w:rPr>
        <w:t xml:space="preserve"> </w:t>
      </w:r>
      <w:r>
        <w:rPr>
          <w:rFonts w:ascii="Times New Roman" w:hAnsi="Times New Roman"/>
          <w:sz w:val="20"/>
          <w:szCs w:val="20"/>
          <w:lang w:val="en-GB"/>
        </w:rPr>
        <w:t>in NR NTN. Such information could also be used as satellite assistance information. Additional information may include the start serving time of upcoming satellites and possibly their upcoming coverage area.</w:t>
      </w:r>
      <w:r>
        <w:rPr>
          <w:rFonts w:ascii="Times New Roman" w:hAnsi="Times New Roman" w:hint="eastAsia"/>
          <w:sz w:val="20"/>
          <w:szCs w:val="20"/>
          <w:lang w:val="en-GB"/>
        </w:rPr>
        <w:t xml:space="preserve"> </w:t>
      </w:r>
      <w:r>
        <w:rPr>
          <w:rFonts w:ascii="Times New Roman" w:hAnsi="Times New Roman"/>
          <w:sz w:val="20"/>
          <w:szCs w:val="20"/>
          <w:lang w:val="en-GB"/>
        </w:rPr>
        <w:t>For the moving cells wherein the start and stop serving time may vary for different UE locations, the reference location (i.e. cell centre) as discussed in NR NTN for mobility enhancements can be reused. Additional information may include the radius or the coverage area of the cells.</w:t>
      </w:r>
    </w:p>
    <w:p w14:paraId="0AC1F8F9" w14:textId="3F4346AC" w:rsidR="00A95D3F" w:rsidRPr="00A95D3F" w:rsidRDefault="00A95D3F" w:rsidP="00DA5F38">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predicting the coverage interruption period.</w:t>
      </w:r>
      <w:r w:rsidR="006A2980">
        <w:rPr>
          <w:rFonts w:ascii="Times New Roman" w:hAnsi="Times New Roman"/>
          <w:b/>
          <w:bCs/>
          <w:sz w:val="20"/>
          <w:szCs w:val="20"/>
          <w:lang w:val="en-GB"/>
        </w:rPr>
        <w:t xml:space="preserve"> Agreements in NR NTN can be reused as much as possible.</w:t>
      </w:r>
    </w:p>
    <w:p w14:paraId="5EA73D8C" w14:textId="23C0A07D" w:rsidR="00A95D3F" w:rsidRDefault="00AB5595" w:rsidP="00DA5F38">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the network or RAN may not have UE location information, it is necessary for the network to know about the </w:t>
      </w:r>
      <w:r w:rsidRPr="00AB5595">
        <w:rPr>
          <w:rFonts w:ascii="Times New Roman" w:hAnsi="Times New Roman"/>
          <w:sz w:val="20"/>
          <w:szCs w:val="20"/>
          <w:lang w:val="en-GB"/>
        </w:rPr>
        <w:t>coverage discontinuity</w:t>
      </w:r>
      <w:r>
        <w:rPr>
          <w:rFonts w:ascii="Times New Roman" w:hAnsi="Times New Roman"/>
          <w:sz w:val="20"/>
          <w:szCs w:val="20"/>
          <w:lang w:val="en-GB"/>
        </w:rPr>
        <w:t xml:space="preserve"> from UE perspective e.g. to avoid unnecessary paging. Therefore a</w:t>
      </w:r>
      <w:r w:rsidR="006A2980">
        <w:rPr>
          <w:rFonts w:ascii="Times New Roman" w:hAnsi="Times New Roman"/>
          <w:sz w:val="20"/>
          <w:szCs w:val="20"/>
          <w:lang w:val="en-GB"/>
        </w:rPr>
        <w:t xml:space="preserve">fter UE’s prediction on coverage interruption period in discontinuous coverage, </w:t>
      </w:r>
      <w:r>
        <w:rPr>
          <w:rFonts w:ascii="Times New Roman" w:hAnsi="Times New Roman"/>
          <w:sz w:val="20"/>
          <w:szCs w:val="20"/>
          <w:lang w:val="en-GB"/>
        </w:rPr>
        <w:t>it may</w:t>
      </w:r>
      <w:r w:rsidR="006A2980">
        <w:rPr>
          <w:rFonts w:ascii="Times New Roman" w:hAnsi="Times New Roman"/>
          <w:sz w:val="20"/>
          <w:szCs w:val="20"/>
          <w:lang w:val="en-GB"/>
        </w:rPr>
        <w:t xml:space="preserve"> report </w:t>
      </w:r>
      <w:r w:rsidRPr="00AB5595">
        <w:rPr>
          <w:rFonts w:ascii="Times New Roman" w:hAnsi="Times New Roman"/>
          <w:sz w:val="20"/>
          <w:szCs w:val="20"/>
          <w:lang w:val="en-GB"/>
        </w:rPr>
        <w:t xml:space="preserve">prediction on coverage interruption period </w:t>
      </w:r>
      <w:r w:rsidR="006A2980">
        <w:rPr>
          <w:rFonts w:ascii="Times New Roman" w:hAnsi="Times New Roman"/>
          <w:sz w:val="20"/>
          <w:szCs w:val="20"/>
          <w:lang w:val="en-GB"/>
        </w:rPr>
        <w:t>to the network to ensue aligned understanding.</w:t>
      </w:r>
    </w:p>
    <w:p w14:paraId="23062DC8" w14:textId="7A1A65D5" w:rsidR="009C50A5" w:rsidRPr="00AB5595" w:rsidRDefault="006A2980" w:rsidP="00DA5F38">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sidR="00AB5595">
        <w:rPr>
          <w:rFonts w:ascii="Times New Roman" w:hAnsi="Times New Roman"/>
          <w:b/>
          <w:bCs/>
          <w:sz w:val="20"/>
          <w:szCs w:val="20"/>
          <w:lang w:val="en-GB"/>
        </w:rPr>
        <w:t>may provide UE assistance information</w:t>
      </w:r>
      <w:r w:rsidRPr="00AB5595">
        <w:rPr>
          <w:rFonts w:ascii="Times New Roman" w:hAnsi="Times New Roman"/>
          <w:b/>
          <w:bCs/>
          <w:sz w:val="20"/>
          <w:szCs w:val="20"/>
          <w:lang w:val="en-GB"/>
        </w:rPr>
        <w:t xml:space="preserve"> to </w:t>
      </w:r>
      <w:r w:rsidR="00AB5595" w:rsidRPr="00AB5595">
        <w:rPr>
          <w:rFonts w:ascii="Times New Roman" w:hAnsi="Times New Roman"/>
          <w:b/>
          <w:bCs/>
          <w:sz w:val="20"/>
          <w:szCs w:val="20"/>
          <w:lang w:val="en-GB"/>
        </w:rPr>
        <w:t>the network</w:t>
      </w:r>
      <w:r w:rsidR="00AB5595">
        <w:rPr>
          <w:rFonts w:ascii="Times New Roman" w:hAnsi="Times New Roman"/>
          <w:b/>
          <w:bCs/>
          <w:sz w:val="20"/>
          <w:szCs w:val="20"/>
          <w:lang w:val="en-GB"/>
        </w:rPr>
        <w:t xml:space="preserve"> for aligned understanding in coverage discontinuity</w:t>
      </w:r>
      <w:r w:rsidR="00AB5595" w:rsidRPr="00AB5595">
        <w:rPr>
          <w:rFonts w:ascii="Times New Roman" w:hAnsi="Times New Roman"/>
          <w:b/>
          <w:bCs/>
          <w:sz w:val="20"/>
          <w:szCs w:val="20"/>
          <w:lang w:val="en-GB"/>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5399F2BA"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AB5595" w:rsidRPr="00AB5595">
        <w:rPr>
          <w:rFonts w:ascii="Times New Roman" w:eastAsiaTheme="minorEastAsia" w:hAnsi="Times New Roman"/>
          <w:sz w:val="20"/>
          <w:szCs w:val="20"/>
        </w:rPr>
        <w:t>contents and provision of assistance information for discontinuous coverage</w:t>
      </w:r>
      <w:r w:rsidR="00000A15">
        <w:rPr>
          <w:rFonts w:ascii="Times New Roman" w:eastAsiaTheme="minorEastAsia" w:hAnsi="Times New Roman"/>
          <w:sz w:val="20"/>
          <w:szCs w:val="20"/>
        </w:rPr>
        <w:t xml:space="preserve"> </w:t>
      </w:r>
      <w:r w:rsidR="00AB5595">
        <w:rPr>
          <w:rFonts w:ascii="Times New Roman" w:eastAsiaTheme="minorEastAsia" w:hAnsi="Times New Roman"/>
          <w:sz w:val="20"/>
          <w:szCs w:val="20"/>
        </w:rPr>
        <w:t>in</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3D0F8A88" w14:textId="77777777" w:rsidR="00AB5595" w:rsidRPr="00C00B63" w:rsidRDefault="00AB5595" w:rsidP="00AB5595">
      <w:pPr>
        <w:rPr>
          <w:rFonts w:ascii="Times New Roman" w:hAnsi="Times New Roman"/>
          <w:b/>
          <w:bCs/>
          <w:sz w:val="20"/>
          <w:szCs w:val="20"/>
        </w:rPr>
      </w:pPr>
      <w:r w:rsidRPr="00C00B63">
        <w:rPr>
          <w:rFonts w:ascii="Times New Roman" w:hAnsi="Times New Roman" w:hint="eastAsia"/>
          <w:b/>
          <w:bCs/>
          <w:sz w:val="20"/>
          <w:szCs w:val="20"/>
        </w:rPr>
        <w:lastRenderedPageBreak/>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18425C33" w14:textId="77777777" w:rsidR="00AB5595" w:rsidRPr="00C00B63" w:rsidRDefault="00AB5595" w:rsidP="00AB5595">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749B00F6" w14:textId="77777777" w:rsidR="00AB5595" w:rsidRPr="00A95D3F" w:rsidRDefault="00AB5595" w:rsidP="00AB5595">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predicting the coverage interruption period.</w:t>
      </w:r>
      <w:r>
        <w:rPr>
          <w:rFonts w:ascii="Times New Roman" w:hAnsi="Times New Roman"/>
          <w:b/>
          <w:bCs/>
          <w:sz w:val="20"/>
          <w:szCs w:val="20"/>
          <w:lang w:val="en-GB"/>
        </w:rPr>
        <w:t xml:space="preserve"> Agreements in NR NTN can be reused as much as possible.</w:t>
      </w:r>
    </w:p>
    <w:p w14:paraId="2CCA1B8A" w14:textId="60A9D13C" w:rsidR="00636295" w:rsidRPr="00AB5595" w:rsidRDefault="00AB5595" w:rsidP="00AB5595">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Pr>
          <w:rFonts w:ascii="Times New Roman" w:hAnsi="Times New Roman"/>
          <w:b/>
          <w:bCs/>
          <w:sz w:val="20"/>
          <w:szCs w:val="20"/>
          <w:lang w:val="en-GB"/>
        </w:rPr>
        <w:t>may provide UE assistance information</w:t>
      </w:r>
      <w:r w:rsidRPr="00AB5595">
        <w:rPr>
          <w:rFonts w:ascii="Times New Roman" w:hAnsi="Times New Roman"/>
          <w:b/>
          <w:bCs/>
          <w:sz w:val="20"/>
          <w:szCs w:val="20"/>
          <w:lang w:val="en-GB"/>
        </w:rPr>
        <w:t xml:space="preserve"> to the network</w:t>
      </w:r>
      <w:r>
        <w:rPr>
          <w:rFonts w:ascii="Times New Roman" w:hAnsi="Times New Roman"/>
          <w:b/>
          <w:bCs/>
          <w:sz w:val="20"/>
          <w:szCs w:val="20"/>
          <w:lang w:val="en-GB"/>
        </w:rPr>
        <w:t xml:space="preserve"> for aligned understanding in coverage discontinuity</w:t>
      </w:r>
      <w:r w:rsidRPr="00AB5595">
        <w:rPr>
          <w:rFonts w:ascii="Times New Roman" w:hAnsi="Times New Roman"/>
          <w:b/>
          <w:bCs/>
          <w:sz w:val="20"/>
          <w:szCs w:val="20"/>
          <w:lang w:val="en-GB"/>
        </w:rPr>
        <w:t>.</w:t>
      </w:r>
    </w:p>
    <w:sectPr w:rsidR="00636295" w:rsidRPr="00AB559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4FB54" w14:textId="77777777" w:rsidR="005B2030" w:rsidRDefault="005B2030">
      <w:r>
        <w:separator/>
      </w:r>
    </w:p>
  </w:endnote>
  <w:endnote w:type="continuationSeparator" w:id="0">
    <w:p w14:paraId="105D3281" w14:textId="77777777" w:rsidR="005B2030" w:rsidRDefault="005B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6109A" w14:textId="77777777" w:rsidR="005B2030" w:rsidRDefault="005B2030">
      <w:r>
        <w:separator/>
      </w:r>
    </w:p>
  </w:footnote>
  <w:footnote w:type="continuationSeparator" w:id="0">
    <w:p w14:paraId="60C668CF" w14:textId="77777777" w:rsidR="005B2030" w:rsidRDefault="005B2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9B783E"/>
    <w:multiLevelType w:val="hybridMultilevel"/>
    <w:tmpl w:val="703AD5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8"/>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 w:numId="44">
    <w:abstractNumId w:val="32"/>
  </w:num>
  <w:num w:numId="45">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33"/>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1</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84</cp:revision>
  <cp:lastPrinted>2012-10-30T00:20:00Z</cp:lastPrinted>
  <dcterms:created xsi:type="dcterms:W3CDTF">2020-08-03T07:44:00Z</dcterms:created>
  <dcterms:modified xsi:type="dcterms:W3CDTF">2021-10-21T08:56:00Z</dcterms:modified>
</cp:coreProperties>
</file>